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5" w:rsidRPr="00235F95" w:rsidRDefault="00F27A41" w:rsidP="00F27A41">
      <w:pPr>
        <w:spacing w:after="0"/>
        <w:ind w:hanging="14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86675" cy="10010775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95" w:rsidRPr="00235F95" w:rsidRDefault="00235F95" w:rsidP="00235F95">
      <w:pPr>
        <w:spacing w:after="0"/>
        <w:rPr>
          <w:lang w:val="ru-RU"/>
        </w:rPr>
        <w:sectPr w:rsidR="00235F95" w:rsidRPr="00235F95" w:rsidSect="00F27A41">
          <w:pgSz w:w="11906" w:h="16383"/>
          <w:pgMar w:top="1134" w:right="424" w:bottom="1134" w:left="284" w:header="720" w:footer="720" w:gutter="0"/>
          <w:cols w:space="720"/>
        </w:sect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bookmarkStart w:id="0" w:name="block-14453637"/>
      <w:bookmarkEnd w:id="0"/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235F9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35F95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235F9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35F9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35F95" w:rsidRPr="00235F95" w:rsidRDefault="00235F95" w:rsidP="00235F95">
      <w:pPr>
        <w:spacing w:after="0"/>
        <w:rPr>
          <w:lang w:val="ru-RU"/>
        </w:rPr>
        <w:sectPr w:rsidR="00235F95" w:rsidRPr="00235F95">
          <w:pgSz w:w="11906" w:h="16383"/>
          <w:pgMar w:top="1134" w:right="850" w:bottom="1134" w:left="1701" w:header="720" w:footer="720" w:gutter="0"/>
          <w:cols w:space="720"/>
        </w:sect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bookmarkStart w:id="1" w:name="block-14453638"/>
      <w:bookmarkEnd w:id="1"/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" w:name="683b575d-fc29-4554-8898-a7b5c598dbb6"/>
      <w:r w:rsidRPr="00235F95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2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235F9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" w:name="3741b07c-b818-4276-9c02-9452404ed662"/>
      <w:r w:rsidRPr="00235F95">
        <w:rPr>
          <w:rFonts w:ascii="Times New Roman" w:hAnsi="Times New Roman"/>
          <w:color w:val="000000"/>
          <w:sz w:val="28"/>
          <w:lang w:val="ru-RU"/>
        </w:rPr>
        <w:t>(не менее четырёх). Например, «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3"/>
      <w:r w:rsidRPr="00235F95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" w:name="f492b714-890f-4682-ac40-57999778e8e6"/>
      <w:r w:rsidRPr="00235F95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4"/>
      <w:r w:rsidRPr="00235F95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5" w:name="d902c126-21ef-4167-9209-dfb4fb73593d"/>
      <w:r w:rsidRPr="00235F95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5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235F9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6" w:name="117e4a82-ed0d-45ab-b4ae-813f20ad62a5"/>
      <w:r w:rsidRPr="00235F95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6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Повесть «Тарас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Бульба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7" w:name="724e0df4-38e3-41a2-b5b6-ae74cd02e3ae"/>
      <w:r w:rsidRPr="00235F95">
        <w:rPr>
          <w:rFonts w:ascii="Times New Roman" w:hAnsi="Times New Roman"/>
          <w:color w:val="000000"/>
          <w:sz w:val="28"/>
          <w:lang w:val="ru-RU"/>
        </w:rPr>
        <w:t xml:space="preserve">(два по выбору). Например, «Бирюк», «Хорь и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7"/>
      <w:r w:rsidRPr="00235F95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8" w:name="392c8492-5b4a-402c-8f0e-10bd561de6f3"/>
      <w:r w:rsidRPr="00235F95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8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d49ac97a-9f24-4da7-91f2-e48f019fd3f5"/>
      <w:r w:rsidRPr="00235F95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9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d84dadf2-8837-40a7-90af-c346f8dae9ab"/>
      <w:r w:rsidRPr="00235F95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0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235F95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1" w:name="0c9ef179-8127-40c8-873b-fdcc57270e7f"/>
      <w:r w:rsidRPr="00235F95">
        <w:rPr>
          <w:rFonts w:ascii="Times New Roman" w:hAnsi="Times New Roman"/>
          <w:color w:val="000000"/>
          <w:sz w:val="28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1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235F95">
        <w:rPr>
          <w:rFonts w:ascii="Times New Roman" w:hAnsi="Times New Roman"/>
          <w:color w:val="000000"/>
          <w:sz w:val="28"/>
          <w:lang w:val="ru-RU"/>
        </w:rPr>
        <w:t>у ‌</w:t>
      </w:r>
      <w:bookmarkStart w:id="12" w:name="3f08c306-d1eb-40c1-bf0e-bea855aa400c"/>
      <w:r w:rsidRPr="00235F9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К. Толстого, Р.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12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3" w:name="40c64b3a-a3eb-4d3f-8b8d-5837df728019"/>
      <w:r w:rsidRPr="00235F95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3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Горький. </w:t>
      </w:r>
      <w:r w:rsidRPr="00235F95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4" w:name="a869f2ae-2a1e-4f4b-ba77-92f82652d3d9"/>
      <w:r w:rsidRPr="00235F95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» (легенда о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Данко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), «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4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235F95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ae30f53-7b1d-4cda-884d-589dec4393f5"/>
      <w:r w:rsidRPr="00235F95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5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16" w:name="b02116e4-e9ea-4e8f-af38-04f2ae71ec92"/>
      <w:r w:rsidRPr="00235F9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6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17" w:name="56b5d580-1dbd-4944-a96b-0fcb0abff146"/>
      <w:r w:rsidRPr="00235F95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7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8" w:name="3508c828-689c-452f-ba72-3d6a17920a96"/>
      <w:r w:rsidRPr="00235F95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8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235F95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19" w:name="bfb8e5e7-5dc0-4aa2-a0fb-f3372a190ccd"/>
      <w:r w:rsidRPr="00235F95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19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235F9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0" w:name="58f8e791-4da1-4c7c-996e-06e9678d7abd"/>
      <w:r w:rsidRPr="00235F95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0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235F9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1" w:name="a067d7de-fb70-421e-a5f5-fb299a482d23"/>
      <w:r w:rsidRPr="00235F95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1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235F95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0597886d-dd6d-4674-8ee8-e14ffd5ff356"/>
      <w:r w:rsidRPr="00235F95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2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235F95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83a8feea-b75e-4227-8bcd-8ff9e804ba2b"/>
      <w:r w:rsidRPr="00235F95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3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990f3598-c382-45d9-8746-81a90d8ce296"/>
      <w:r w:rsidRPr="00235F95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4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25" w:name="ea61fdd9-b266-4028-b605-73fad05f3a1b"/>
      <w:r w:rsidRPr="00235F9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5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235F95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5F95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4c3792f6-c508-448f-810f-0a4e7935e4da"/>
      <w:r w:rsidRPr="00235F95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«Дары волхвов», «Последний лист».</w:t>
      </w:r>
      <w:bookmarkEnd w:id="26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proofErr w:type="gramStart"/>
      <w:r w:rsidRPr="00235F95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proofErr w:type="gramEnd"/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235F95">
        <w:rPr>
          <w:rFonts w:ascii="Times New Roman" w:hAnsi="Times New Roman"/>
          <w:b/>
          <w:color w:val="000000"/>
          <w:sz w:val="28"/>
          <w:lang w:val="ru-RU"/>
        </w:rPr>
        <w:t>Экзюпери</w:t>
      </w:r>
      <w:proofErr w:type="spellEnd"/>
      <w:r w:rsidRPr="00235F9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bookmarkStart w:id="27" w:name="0b2f85f8-e824-4e61-a1ac-4efc7fb78a2f"/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«Отцы-пустынники и жёны непорочны…», «Пора, мой друг, пора!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27"/>
      <w:r w:rsidRPr="00235F95">
        <w:rPr>
          <w:rFonts w:ascii="Times New Roman" w:hAnsi="Times New Roman"/>
          <w:color w:val="000000"/>
          <w:sz w:val="28"/>
          <w:lang w:val="ru-RU"/>
        </w:rPr>
        <w:t>‌‌ Поэма «Медный всадник».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Роман в стихах «Евгений Онегин».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28" w:name="87a51fa3-c568-4583-a18a-174135483b9d"/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>.</w:t>
      </w:r>
      <w:bookmarkEnd w:id="28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9" w:name="1e17c9e2-8d8f-4f1b-b2ac-b4be6de41c09"/>
      <w:r w:rsidRPr="00235F9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Лафертовская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маковница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29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30" w:name="131db750-5e26-42b5-b0b5-6f68058ef787"/>
      <w:r w:rsidRPr="00235F95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30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31" w:name="50dcaf75-7eb3-4058-9b14-0313c9277b2d"/>
      <w:r w:rsidRPr="00235F95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31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32" w:name="0b3534b6-8dfe-4b28-9993-091faed66786"/>
      <w:r w:rsidRPr="00235F95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32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235F9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3" w:name="e19cbdea-f76d-4b99-b400-83b11ad6923d"/>
      <w:r w:rsidRPr="00235F95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33"/>
      <w:r w:rsidRPr="00235F95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34" w:name="e2190f02-8aec-4529-8d6c-41c65b65ca2e"/>
      <w:r w:rsidRPr="00235F95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34"/>
      <w:r w:rsidRPr="00235F9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F9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5" w:name="2ccf1dde-3592-470f-89fb-4ebac1d8e3cf"/>
      <w:r w:rsidRPr="00235F9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35"/>
      <w:r w:rsidRPr="0023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95" w:rsidRPr="00235F95" w:rsidRDefault="00235F95" w:rsidP="00235F95">
      <w:pPr>
        <w:spacing w:after="0"/>
        <w:rPr>
          <w:lang w:val="ru-RU"/>
        </w:rPr>
        <w:sectPr w:rsidR="00235F95" w:rsidRPr="00235F95">
          <w:pgSz w:w="11906" w:h="16383"/>
          <w:pgMar w:top="1134" w:right="850" w:bottom="1134" w:left="1701" w:header="720" w:footer="720" w:gutter="0"/>
          <w:cols w:space="720"/>
        </w:sect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bookmarkStart w:id="36" w:name="block-14453639"/>
      <w:bookmarkEnd w:id="36"/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235F95" w:rsidRPr="00235F95" w:rsidRDefault="00235F95" w:rsidP="00235F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35F95" w:rsidRPr="00235F95" w:rsidRDefault="00235F95" w:rsidP="00235F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35F95" w:rsidRPr="00235F95" w:rsidRDefault="00235F95" w:rsidP="00235F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35F95" w:rsidRPr="00235F95" w:rsidRDefault="00235F95" w:rsidP="00235F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35F95" w:rsidRPr="00235F95" w:rsidRDefault="00235F95" w:rsidP="00235F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35F95" w:rsidRPr="00235F95" w:rsidRDefault="00235F95" w:rsidP="00235F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35F95" w:rsidRPr="00235F95" w:rsidRDefault="00235F95" w:rsidP="00235F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35F95" w:rsidRPr="00235F95" w:rsidRDefault="00235F95" w:rsidP="00235F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>;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35F95" w:rsidRPr="00235F95" w:rsidRDefault="00235F95" w:rsidP="00235F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35F95" w:rsidRPr="00235F95" w:rsidRDefault="00235F95" w:rsidP="00235F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35F95" w:rsidRPr="00235F95" w:rsidRDefault="00235F95" w:rsidP="00235F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35F95" w:rsidRPr="00235F95" w:rsidRDefault="00235F95" w:rsidP="00235F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35F95" w:rsidRPr="00235F95" w:rsidRDefault="00235F95" w:rsidP="00235F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35F95" w:rsidRPr="00235F95" w:rsidRDefault="00235F95" w:rsidP="00235F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Default="00235F95" w:rsidP="00235F9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35F95" w:rsidRPr="00235F95" w:rsidRDefault="00235F95" w:rsidP="00235F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35F95" w:rsidRPr="00235F95" w:rsidRDefault="00235F95" w:rsidP="00235F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35F95" w:rsidRPr="00235F95" w:rsidRDefault="00235F95" w:rsidP="00235F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235F9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35F9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235F95" w:rsidRPr="00235F95" w:rsidRDefault="00235F95" w:rsidP="00235F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35F95" w:rsidRPr="00235F95" w:rsidRDefault="00235F95" w:rsidP="00235F9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235F95" w:rsidRPr="00235F95" w:rsidRDefault="00235F95" w:rsidP="00235F9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35F95" w:rsidRPr="00235F95" w:rsidRDefault="00235F95" w:rsidP="00235F9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35F95" w:rsidRPr="00235F95" w:rsidRDefault="00235F95" w:rsidP="00235F9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35F95" w:rsidRPr="00235F95" w:rsidRDefault="00235F95" w:rsidP="00235F9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35F95" w:rsidRPr="00235F95" w:rsidRDefault="00235F95" w:rsidP="00235F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35F95" w:rsidRPr="00235F95" w:rsidRDefault="00235F95" w:rsidP="00235F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35F95" w:rsidRPr="00235F95" w:rsidRDefault="00235F95" w:rsidP="00235F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35F95" w:rsidRPr="00235F95" w:rsidRDefault="00235F95" w:rsidP="00235F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35F95" w:rsidRPr="00235F95" w:rsidRDefault="00235F95" w:rsidP="00235F9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35F95" w:rsidRPr="00235F95" w:rsidRDefault="00235F95" w:rsidP="00235F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35F95" w:rsidRPr="00235F95" w:rsidRDefault="00235F95" w:rsidP="00235F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35F95" w:rsidRPr="00235F95" w:rsidRDefault="00235F95" w:rsidP="00235F9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35F95" w:rsidRPr="00235F95" w:rsidRDefault="00235F95" w:rsidP="00235F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35F95" w:rsidRPr="00235F95" w:rsidRDefault="00235F95" w:rsidP="00235F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35F95" w:rsidRPr="00235F95" w:rsidRDefault="00235F95" w:rsidP="00235F9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35F95" w:rsidRDefault="00235F95" w:rsidP="00235F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5F95" w:rsidRPr="00235F95" w:rsidRDefault="00235F95" w:rsidP="00235F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35F95" w:rsidRPr="00235F95" w:rsidRDefault="00235F95" w:rsidP="00235F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>;</w:t>
      </w:r>
    </w:p>
    <w:p w:rsidR="00235F95" w:rsidRPr="00235F95" w:rsidRDefault="00235F95" w:rsidP="00235F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35F95" w:rsidRPr="00235F95" w:rsidRDefault="00235F95" w:rsidP="00235F9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235F95" w:rsidRPr="00235F95" w:rsidRDefault="00235F95" w:rsidP="00235F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</w:t>
      </w: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35F95" w:rsidRPr="00235F95" w:rsidRDefault="00235F95" w:rsidP="00235F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235F95" w:rsidRPr="00235F95" w:rsidRDefault="00235F95" w:rsidP="00235F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235F95" w:rsidRPr="00235F95" w:rsidRDefault="00235F95" w:rsidP="00235F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235F95" w:rsidRPr="00235F95" w:rsidRDefault="00235F95" w:rsidP="00235F9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35F95" w:rsidRPr="00F27A41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F27A41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235F9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вопросы к тексту; пересказывать сюжет и вычленять фабулу;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>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10) планировать своё </w:t>
      </w:r>
      <w:proofErr w:type="spellStart"/>
      <w:r w:rsidRPr="00235F95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235F95" w:rsidRPr="00235F95" w:rsidRDefault="00235F95" w:rsidP="00235F95">
      <w:pPr>
        <w:spacing w:after="0" w:line="264" w:lineRule="auto"/>
        <w:ind w:firstLine="600"/>
        <w:jc w:val="both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235F95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spellEnd"/>
      <w:proofErr w:type="gramEnd"/>
      <w:r w:rsidRPr="00235F95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235F95" w:rsidRPr="00235F95" w:rsidRDefault="00235F95" w:rsidP="00235F95">
      <w:pPr>
        <w:spacing w:after="0" w:line="264" w:lineRule="auto"/>
        <w:ind w:left="120"/>
        <w:jc w:val="both"/>
        <w:rPr>
          <w:lang w:val="ru-RU"/>
        </w:rPr>
      </w:pPr>
    </w:p>
    <w:p w:rsidR="00235F95" w:rsidRPr="00235F95" w:rsidRDefault="00235F95" w:rsidP="00235F95">
      <w:pPr>
        <w:spacing w:after="0"/>
        <w:rPr>
          <w:lang w:val="ru-RU"/>
        </w:rPr>
        <w:sectPr w:rsidR="00235F95" w:rsidRPr="00235F95">
          <w:pgSz w:w="11906" w:h="16383"/>
          <w:pgMar w:top="1134" w:right="850" w:bottom="1134" w:left="1701" w:header="720" w:footer="720" w:gutter="0"/>
          <w:cols w:space="720"/>
        </w:sectPr>
      </w:pPr>
    </w:p>
    <w:p w:rsidR="00235F95" w:rsidRDefault="00235F95" w:rsidP="00235F95">
      <w:pPr>
        <w:spacing w:after="0"/>
        <w:ind w:left="120"/>
      </w:pPr>
      <w:bookmarkStart w:id="37" w:name="block-14453634"/>
      <w:bookmarkEnd w:id="37"/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F95" w:rsidRDefault="00235F95" w:rsidP="00235F95">
      <w:pPr>
        <w:spacing w:after="0"/>
        <w:ind w:left="120"/>
        <w:sectPr w:rsidR="00235F9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35F95" w:rsidRDefault="00235F95" w:rsidP="00235F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4592"/>
        <w:gridCol w:w="1563"/>
        <w:gridCol w:w="1841"/>
        <w:gridCol w:w="1910"/>
        <w:gridCol w:w="2824"/>
      </w:tblGrid>
      <w:tr w:rsidR="00235F95" w:rsidTr="00235F95">
        <w:trPr>
          <w:trHeight w:val="144"/>
        </w:trPr>
        <w:tc>
          <w:tcPr>
            <w:tcW w:w="51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«Бирюк», «Хорь и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«Повесть о том, как один мужик двух генералов прокормил», «Дикий помещик», «Премудрый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стихотворения А. А. Блока, Н. С. Гумилёва, М. И. Цветаевой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Ф. А. Абрамова, В. П. Астафьева, В. И. Белова, Ф. А.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Tr="00235F9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 (одно-два произведения по выбору). Например, П. Мериме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spellStart"/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5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</w:tbl>
    <w:p w:rsidR="00235F95" w:rsidRDefault="00235F95" w:rsidP="00235F95">
      <w:pPr>
        <w:spacing w:after="0"/>
        <w:sectPr w:rsidR="00235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95" w:rsidRDefault="00235F95" w:rsidP="00235F95">
      <w:pPr>
        <w:spacing w:after="0"/>
        <w:sectPr w:rsidR="00235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95" w:rsidRDefault="00235F95" w:rsidP="00235F95">
      <w:pPr>
        <w:spacing w:after="0"/>
      </w:pPr>
      <w:bookmarkStart w:id="38" w:name="block-1445363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35F95" w:rsidRDefault="00235F95" w:rsidP="00235F95">
      <w:pPr>
        <w:spacing w:after="0"/>
        <w:ind w:left="120"/>
        <w:sectPr w:rsidR="00235F9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35F95" w:rsidRDefault="00235F95" w:rsidP="00235F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572"/>
        <w:gridCol w:w="1095"/>
        <w:gridCol w:w="1841"/>
        <w:gridCol w:w="1910"/>
        <w:gridCol w:w="1423"/>
        <w:gridCol w:w="3368"/>
      </w:tblGrid>
      <w:tr w:rsidR="00235F95" w:rsidTr="00235F95">
        <w:trPr>
          <w:trHeight w:val="144"/>
        </w:trPr>
        <w:tc>
          <w:tcPr>
            <w:tcW w:w="36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5" w:rsidRDefault="00235F95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235F95" w:rsidRDefault="00235F95">
            <w:pPr>
              <w:spacing w:after="0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 повесть по выбору), например, «Поучение» Владимира Мономаха (в сокращении).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«И. И. Пущину», «На холмах Грузии лежит ночная мгла…» и др. Особенности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340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proofErr w:type="spellEnd"/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34310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34428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34860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Система персонажей. Сопоставление Остапа и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Образ Тараса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Бульбы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Развернутый ответ на проблемный вопрос по повести Н. В. Гоголя «Тарас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35544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Идейно-художествннное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35774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35878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35990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Идейно-художественное своеобразие сказок писателя. «Повесть о том, как один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36520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36656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proofErr w:type="spellEnd"/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лошадям» и др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bdc</w:t>
              </w:r>
              <w:proofErr w:type="spellEnd"/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38672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Повесть-сказка «Маленький принц». </w:t>
            </w: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Жанр, тематика, проблематика, сюжет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3808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35F95" w:rsidRPr="00F27A41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 w:rsidRPr="00235F95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</w:hyperlink>
          </w:p>
        </w:tc>
      </w:tr>
      <w:tr w:rsidR="00235F95" w:rsidTr="00235F95">
        <w:trPr>
          <w:trHeight w:val="144"/>
        </w:trPr>
        <w:tc>
          <w:tcPr>
            <w:tcW w:w="3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>
            <w:pPr>
              <w:spacing w:after="0"/>
              <w:ind w:left="135"/>
            </w:pPr>
          </w:p>
        </w:tc>
      </w:tr>
      <w:tr w:rsidR="00235F95" w:rsidTr="00235F9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Pr="00235F95" w:rsidRDefault="00235F95">
            <w:pPr>
              <w:spacing w:after="0"/>
              <w:ind w:left="135"/>
              <w:rPr>
                <w:lang w:val="ru-RU"/>
              </w:rPr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 w:rsidRPr="0023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35F95" w:rsidRDefault="0023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35F95" w:rsidRDefault="00235F95"/>
        </w:tc>
      </w:tr>
    </w:tbl>
    <w:p w:rsidR="00235F95" w:rsidRDefault="00235F95" w:rsidP="00235F95">
      <w:pPr>
        <w:spacing w:after="0"/>
        <w:sectPr w:rsidR="00235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95" w:rsidRPr="00235F95" w:rsidRDefault="00235F95" w:rsidP="00235F95">
      <w:pPr>
        <w:spacing w:after="0"/>
        <w:ind w:left="120"/>
        <w:rPr>
          <w:lang w:val="ru-RU"/>
        </w:rPr>
      </w:pPr>
      <w:bookmarkStart w:id="39" w:name="block-14453636"/>
      <w:bookmarkEnd w:id="39"/>
      <w:r w:rsidRPr="00235F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​‌</w:t>
      </w:r>
      <w:bookmarkStart w:id="40" w:name="1f100f48-434a-44f2-b9f0-5dbd482f0e8c"/>
      <w:r w:rsidRPr="00235F95">
        <w:rPr>
          <w:rFonts w:ascii="Times New Roman" w:hAnsi="Times New Roman"/>
          <w:color w:val="000000"/>
          <w:sz w:val="28"/>
          <w:lang w:val="ru-RU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bookmarkEnd w:id="40"/>
      <w:r w:rsidRPr="00235F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5F95" w:rsidRPr="00235F95" w:rsidRDefault="00235F95" w:rsidP="00235F95">
      <w:pPr>
        <w:spacing w:after="0"/>
        <w:ind w:left="120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​</w:t>
      </w: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color w:val="000000"/>
          <w:sz w:val="28"/>
          <w:lang w:val="ru-RU"/>
        </w:rPr>
        <w:t>​‌</w:t>
      </w:r>
      <w:bookmarkStart w:id="41" w:name="965c2f96-378d-4c13-9dce-56f666e6bfa8"/>
      <w:r w:rsidRPr="00235F95">
        <w:rPr>
          <w:rFonts w:ascii="Times New Roman" w:hAnsi="Times New Roman"/>
          <w:color w:val="000000"/>
          <w:sz w:val="28"/>
          <w:lang w:val="ru-RU"/>
        </w:rPr>
        <w:t>Поурочные планы</w:t>
      </w:r>
      <w:bookmarkEnd w:id="41"/>
      <w:r w:rsidRPr="00235F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5F95" w:rsidRPr="00235F95" w:rsidRDefault="00235F95" w:rsidP="00235F95">
      <w:pPr>
        <w:spacing w:after="0"/>
        <w:ind w:left="120"/>
        <w:rPr>
          <w:lang w:val="ru-RU"/>
        </w:rPr>
      </w:pPr>
    </w:p>
    <w:p w:rsidR="00235F95" w:rsidRPr="00235F95" w:rsidRDefault="00235F95" w:rsidP="00235F95">
      <w:pPr>
        <w:spacing w:after="0" w:line="480" w:lineRule="auto"/>
        <w:ind w:left="120"/>
        <w:rPr>
          <w:lang w:val="ru-RU"/>
        </w:rPr>
      </w:pPr>
      <w:r w:rsidRPr="00235F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F95" w:rsidRDefault="00235F95" w:rsidP="00235F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</w:t>
      </w:r>
      <w:bookmarkStart w:id="42" w:name="b680be9b-368a-4013-95ac-09d499c3ce1d"/>
      <w:bookmarkEnd w:id="4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35F95" w:rsidRDefault="00235F95" w:rsidP="00235F95">
      <w:pPr>
        <w:spacing w:after="0"/>
        <w:sectPr w:rsidR="00235F95">
          <w:pgSz w:w="11906" w:h="16383"/>
          <w:pgMar w:top="1134" w:right="850" w:bottom="1134" w:left="1701" w:header="720" w:footer="720" w:gutter="0"/>
          <w:cols w:space="720"/>
        </w:sectPr>
      </w:pPr>
    </w:p>
    <w:p w:rsidR="00235F95" w:rsidRDefault="00235F95" w:rsidP="00235F95">
      <w:bookmarkStart w:id="43" w:name="block-14453640"/>
      <w:bookmarkEnd w:id="43"/>
    </w:p>
    <w:p w:rsidR="00710633" w:rsidRDefault="00710633"/>
    <w:sectPr w:rsidR="00710633" w:rsidSect="008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7D4"/>
    <w:multiLevelType w:val="multilevel"/>
    <w:tmpl w:val="E2DA4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DA003D"/>
    <w:multiLevelType w:val="multilevel"/>
    <w:tmpl w:val="A596D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E84FA2"/>
    <w:multiLevelType w:val="multilevel"/>
    <w:tmpl w:val="5C024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5E4580"/>
    <w:multiLevelType w:val="multilevel"/>
    <w:tmpl w:val="F484F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AF3531"/>
    <w:multiLevelType w:val="multilevel"/>
    <w:tmpl w:val="ACA2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F03812"/>
    <w:multiLevelType w:val="multilevel"/>
    <w:tmpl w:val="967C8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003A35"/>
    <w:multiLevelType w:val="multilevel"/>
    <w:tmpl w:val="6236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E77F30"/>
    <w:multiLevelType w:val="multilevel"/>
    <w:tmpl w:val="3F8C4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420FF4"/>
    <w:multiLevelType w:val="multilevel"/>
    <w:tmpl w:val="7E4CA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EA475E"/>
    <w:multiLevelType w:val="multilevel"/>
    <w:tmpl w:val="491C1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2B218F"/>
    <w:multiLevelType w:val="multilevel"/>
    <w:tmpl w:val="2D1CF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0A0D25"/>
    <w:multiLevelType w:val="multilevel"/>
    <w:tmpl w:val="D144D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FE100B"/>
    <w:multiLevelType w:val="multilevel"/>
    <w:tmpl w:val="3CFA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807E09"/>
    <w:multiLevelType w:val="multilevel"/>
    <w:tmpl w:val="EDF43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57867"/>
    <w:multiLevelType w:val="multilevel"/>
    <w:tmpl w:val="9586E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BA7E70"/>
    <w:multiLevelType w:val="multilevel"/>
    <w:tmpl w:val="AFA6F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94D2550"/>
    <w:multiLevelType w:val="multilevel"/>
    <w:tmpl w:val="3B9AE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0B143D"/>
    <w:multiLevelType w:val="multilevel"/>
    <w:tmpl w:val="1D06B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3A72AE"/>
    <w:multiLevelType w:val="multilevel"/>
    <w:tmpl w:val="90B2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C65693"/>
    <w:multiLevelType w:val="multilevel"/>
    <w:tmpl w:val="19368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9023AB"/>
    <w:multiLevelType w:val="multilevel"/>
    <w:tmpl w:val="1B1EB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D5645D6"/>
    <w:multiLevelType w:val="multilevel"/>
    <w:tmpl w:val="C492C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690BEF"/>
    <w:multiLevelType w:val="multilevel"/>
    <w:tmpl w:val="F48AF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22"/>
  </w:num>
  <w:num w:numId="3">
    <w:abstractNumId w:val="7"/>
  </w:num>
  <w:num w:numId="4">
    <w:abstractNumId w:val="7"/>
  </w:num>
  <w:num w:numId="5">
    <w:abstractNumId w:val="19"/>
  </w:num>
  <w:num w:numId="6">
    <w:abstractNumId w:val="19"/>
  </w:num>
  <w:num w:numId="7">
    <w:abstractNumId w:val="11"/>
  </w:num>
  <w:num w:numId="8">
    <w:abstractNumId w:val="11"/>
  </w:num>
  <w:num w:numId="9">
    <w:abstractNumId w:val="3"/>
  </w:num>
  <w:num w:numId="10">
    <w:abstractNumId w:val="3"/>
  </w:num>
  <w:num w:numId="11">
    <w:abstractNumId w:val="21"/>
  </w:num>
  <w:num w:numId="12">
    <w:abstractNumId w:val="21"/>
  </w:num>
  <w:num w:numId="13">
    <w:abstractNumId w:val="13"/>
  </w:num>
  <w:num w:numId="14">
    <w:abstractNumId w:val="13"/>
  </w:num>
  <w:num w:numId="15">
    <w:abstractNumId w:val="10"/>
  </w:num>
  <w:num w:numId="16">
    <w:abstractNumId w:val="10"/>
  </w:num>
  <w:num w:numId="17">
    <w:abstractNumId w:val="5"/>
  </w:num>
  <w:num w:numId="18">
    <w:abstractNumId w:val="5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14"/>
  </w:num>
  <w:num w:numId="24">
    <w:abstractNumId w:val="14"/>
  </w:num>
  <w:num w:numId="25">
    <w:abstractNumId w:val="20"/>
  </w:num>
  <w:num w:numId="26">
    <w:abstractNumId w:val="20"/>
  </w:num>
  <w:num w:numId="27">
    <w:abstractNumId w:val="16"/>
  </w:num>
  <w:num w:numId="28">
    <w:abstractNumId w:val="16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5"/>
  </w:num>
  <w:num w:numId="34">
    <w:abstractNumId w:val="15"/>
  </w:num>
  <w:num w:numId="35">
    <w:abstractNumId w:val="6"/>
  </w:num>
  <w:num w:numId="36">
    <w:abstractNumId w:val="6"/>
  </w:num>
  <w:num w:numId="37">
    <w:abstractNumId w:val="18"/>
  </w:num>
  <w:num w:numId="38">
    <w:abstractNumId w:val="18"/>
  </w:num>
  <w:num w:numId="39">
    <w:abstractNumId w:val="2"/>
  </w:num>
  <w:num w:numId="40">
    <w:abstractNumId w:val="2"/>
  </w:num>
  <w:num w:numId="41">
    <w:abstractNumId w:val="4"/>
  </w:num>
  <w:num w:numId="42">
    <w:abstractNumId w:val="4"/>
  </w:num>
  <w:num w:numId="43">
    <w:abstractNumId w:val="12"/>
  </w:num>
  <w:num w:numId="44">
    <w:abstractNumId w:val="12"/>
  </w:num>
  <w:num w:numId="45">
    <w:abstractNumId w:val="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D8"/>
    <w:rsid w:val="00215910"/>
    <w:rsid w:val="00235F95"/>
    <w:rsid w:val="005D04D8"/>
    <w:rsid w:val="00710633"/>
    <w:rsid w:val="007F6A1E"/>
    <w:rsid w:val="008C2411"/>
    <w:rsid w:val="00F2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5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35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F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F9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35F9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35F95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35F9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character" w:styleId="a3">
    <w:name w:val="Hyperlink"/>
    <w:basedOn w:val="a0"/>
    <w:uiPriority w:val="99"/>
    <w:semiHidden/>
    <w:unhideWhenUsed/>
    <w:rsid w:val="00235F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F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3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235F9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35F9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F95"/>
    <w:rPr>
      <w:kern w:val="0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35F9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35F9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35F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35F95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5F95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table" w:styleId="ad">
    <w:name w:val="Table Grid"/>
    <w:basedOn w:val="a1"/>
    <w:uiPriority w:val="59"/>
    <w:rsid w:val="00235F95"/>
    <w:pPr>
      <w:spacing w:after="0" w:line="240" w:lineRule="auto"/>
    </w:pPr>
    <w:rPr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A41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76" Type="http://schemas.openxmlformats.org/officeDocument/2006/relationships/hyperlink" Target="https://m.edsoo.ru/8bc38672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66" Type="http://schemas.openxmlformats.org/officeDocument/2006/relationships/hyperlink" Target="https://m.edsoo.ru/8bc36b6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bc3706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8756</Words>
  <Characters>49914</Characters>
  <Application>Microsoft Office Word</Application>
  <DocSecurity>0</DocSecurity>
  <Lines>415</Lines>
  <Paragraphs>117</Paragraphs>
  <ScaleCrop>false</ScaleCrop>
  <Company/>
  <LinksUpToDate>false</LinksUpToDate>
  <CharactersWithSpaces>58553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mta37_53@outlook.com</dc:creator>
  <cp:keywords/>
  <dc:description/>
  <cp:lastModifiedBy>Администратор</cp:lastModifiedBy>
  <cp:revision>6</cp:revision>
  <dcterms:created xsi:type="dcterms:W3CDTF">2023-09-06T16:56:00Z</dcterms:created>
  <dcterms:modified xsi:type="dcterms:W3CDTF">2023-09-20T06:14:00Z</dcterms:modified>
</cp:coreProperties>
</file>